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067E" w:rsidRPr="0092067E" w:rsidRDefault="0092067E" w:rsidP="0092067E">
      <w:pPr>
        <w:spacing w:before="100" w:beforeAutospacing="1" w:after="100" w:afterAutospacing="1" w:line="240" w:lineRule="auto"/>
        <w:rPr>
          <w:rFonts w:eastAsia="Times New Roman" w:cs="Times New Roman"/>
          <w:color w:val="FF0000"/>
          <w:kern w:val="0"/>
          <w:sz w:val="36"/>
          <w:szCs w:val="36"/>
          <w:u w:val="single"/>
          <w:lang w:eastAsia="fr-FR"/>
          <w14:ligatures w14:val="none"/>
        </w:rPr>
      </w:pPr>
      <w:r w:rsidRPr="0092067E">
        <w:rPr>
          <w:rFonts w:eastAsia="Times New Roman" w:cs="Times New Roman"/>
          <w:b/>
          <w:bCs/>
          <w:color w:val="FF0000"/>
          <w:kern w:val="0"/>
          <w:sz w:val="36"/>
          <w:szCs w:val="36"/>
          <w:u w:val="single"/>
          <w:lang w:eastAsia="fr-FR"/>
          <w14:ligatures w14:val="none"/>
        </w:rPr>
        <w:t>Synthèse : L'intégration de la cryptographie post-quantique (PQC) dans les certificats TLS</w:t>
      </w:r>
    </w:p>
    <w:p w:rsidR="0092067E" w:rsidRPr="0092067E" w:rsidRDefault="0092067E" w:rsidP="0092067E">
      <w:pPr>
        <w:spacing w:before="100" w:beforeAutospacing="1" w:after="100" w:afterAutospacing="1" w:line="240" w:lineRule="auto"/>
        <w:rPr>
          <w:rFonts w:eastAsia="Times New Roman" w:cs="Times New Roman"/>
          <w:kern w:val="0"/>
          <w:sz w:val="28"/>
          <w:szCs w:val="28"/>
          <w:u w:val="single"/>
          <w:lang w:eastAsia="fr-FR"/>
          <w14:ligatures w14:val="none"/>
        </w:rPr>
      </w:pPr>
      <w:r w:rsidRPr="0092067E">
        <w:rPr>
          <w:rFonts w:eastAsia="Times New Roman" w:cs="Times New Roman"/>
          <w:b/>
          <w:bCs/>
          <w:kern w:val="0"/>
          <w:sz w:val="28"/>
          <w:szCs w:val="28"/>
          <w:u w:val="single"/>
          <w:lang w:eastAsia="fr-FR"/>
          <w14:ligatures w14:val="none"/>
        </w:rPr>
        <w:t>Date : 26 avril 2026</w:t>
      </w:r>
    </w:p>
    <w:p w:rsidR="0092067E" w:rsidRPr="0092067E" w:rsidRDefault="0092067E" w:rsidP="0092067E">
      <w:p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Après la généralisation des certificats à 90 jours début 2026, l'écosystème de la sécurité numérique franchit une nouvelle étape avec le déploiement massif de la cryptographie post-quantique (PQC) au sein des protocoles TLS. Cette transition technologique majeure vise à p</w:t>
      </w:r>
      <w:bookmarkStart w:id="0" w:name="_GoBack"/>
      <w:bookmarkEnd w:id="0"/>
      <w:r w:rsidRPr="0092067E">
        <w:rPr>
          <w:rFonts w:eastAsia="Times New Roman" w:cs="Times New Roman"/>
          <w:kern w:val="0"/>
          <w:sz w:val="28"/>
          <w:szCs w:val="28"/>
          <w:lang w:eastAsia="fr-FR"/>
          <w14:ligatures w14:val="none"/>
        </w:rPr>
        <w:t>rotéger les communications actuelles contre les capacités de calcul des futurs ordinateurs quantiques.</w:t>
      </w:r>
    </w:p>
    <w:p w:rsidR="0092067E" w:rsidRPr="0092067E" w:rsidRDefault="0092067E" w:rsidP="0092067E">
      <w:pPr>
        <w:spacing w:after="0"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pict>
          <v:rect id="_x0000_i1025" style="width:0;height:1.5pt" o:hralign="center" o:hrstd="t" o:hr="t" fillcolor="#a0a0a0" stroked="f"/>
        </w:pict>
      </w:r>
    </w:p>
    <w:p w:rsidR="0092067E" w:rsidRPr="0092067E" w:rsidRDefault="0092067E" w:rsidP="0092067E">
      <w:pPr>
        <w:spacing w:before="100" w:beforeAutospacing="1" w:after="100" w:afterAutospacing="1" w:line="240" w:lineRule="auto"/>
        <w:outlineLvl w:val="2"/>
        <w:rPr>
          <w:rFonts w:eastAsia="Times New Roman" w:cs="Times New Roman"/>
          <w:b/>
          <w:bCs/>
          <w:kern w:val="0"/>
          <w:sz w:val="28"/>
          <w:szCs w:val="28"/>
          <w:lang w:eastAsia="fr-FR"/>
          <w14:ligatures w14:val="none"/>
        </w:rPr>
      </w:pPr>
      <w:r w:rsidRPr="0092067E">
        <w:rPr>
          <w:rFonts w:eastAsia="Times New Roman" w:cs="Times New Roman"/>
          <w:b/>
          <w:bCs/>
          <w:kern w:val="0"/>
          <w:sz w:val="28"/>
          <w:szCs w:val="28"/>
          <w:lang w:eastAsia="fr-FR"/>
          <w14:ligatures w14:val="none"/>
        </w:rPr>
        <w:t>La menace du déchiffrement rétroactif</w:t>
      </w:r>
    </w:p>
    <w:p w:rsidR="0092067E" w:rsidRPr="0092067E" w:rsidRDefault="0092067E" w:rsidP="0092067E">
      <w:p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 xml:space="preserve">Le déploiement de la PQC répond principalement à la stratégie dite « </w:t>
      </w:r>
      <w:proofErr w:type="spellStart"/>
      <w:r w:rsidRPr="0092067E">
        <w:rPr>
          <w:rFonts w:eastAsia="Times New Roman" w:cs="Times New Roman"/>
          <w:kern w:val="0"/>
          <w:sz w:val="28"/>
          <w:szCs w:val="28"/>
          <w:lang w:eastAsia="fr-FR"/>
          <w14:ligatures w14:val="none"/>
        </w:rPr>
        <w:t>Harvest</w:t>
      </w:r>
      <w:proofErr w:type="spellEnd"/>
      <w:r w:rsidRPr="0092067E">
        <w:rPr>
          <w:rFonts w:eastAsia="Times New Roman" w:cs="Times New Roman"/>
          <w:kern w:val="0"/>
          <w:sz w:val="28"/>
          <w:szCs w:val="28"/>
          <w:lang w:eastAsia="fr-FR"/>
          <w14:ligatures w14:val="none"/>
        </w:rPr>
        <w:t xml:space="preserve"> </w:t>
      </w:r>
      <w:proofErr w:type="spellStart"/>
      <w:r w:rsidRPr="0092067E">
        <w:rPr>
          <w:rFonts w:eastAsia="Times New Roman" w:cs="Times New Roman"/>
          <w:kern w:val="0"/>
          <w:sz w:val="28"/>
          <w:szCs w:val="28"/>
          <w:lang w:eastAsia="fr-FR"/>
          <w14:ligatures w14:val="none"/>
        </w:rPr>
        <w:t>Now</w:t>
      </w:r>
      <w:proofErr w:type="spellEnd"/>
      <w:r w:rsidRPr="0092067E">
        <w:rPr>
          <w:rFonts w:eastAsia="Times New Roman" w:cs="Times New Roman"/>
          <w:kern w:val="0"/>
          <w:sz w:val="28"/>
          <w:szCs w:val="28"/>
          <w:lang w:eastAsia="fr-FR"/>
          <w14:ligatures w14:val="none"/>
        </w:rPr>
        <w:t xml:space="preserve">, </w:t>
      </w:r>
      <w:proofErr w:type="spellStart"/>
      <w:r w:rsidRPr="0092067E">
        <w:rPr>
          <w:rFonts w:eastAsia="Times New Roman" w:cs="Times New Roman"/>
          <w:kern w:val="0"/>
          <w:sz w:val="28"/>
          <w:szCs w:val="28"/>
          <w:lang w:eastAsia="fr-FR"/>
          <w14:ligatures w14:val="none"/>
        </w:rPr>
        <w:t>Decrypt</w:t>
      </w:r>
      <w:proofErr w:type="spellEnd"/>
      <w:r w:rsidRPr="0092067E">
        <w:rPr>
          <w:rFonts w:eastAsia="Times New Roman" w:cs="Times New Roman"/>
          <w:kern w:val="0"/>
          <w:sz w:val="28"/>
          <w:szCs w:val="28"/>
          <w:lang w:eastAsia="fr-FR"/>
          <w14:ligatures w14:val="none"/>
        </w:rPr>
        <w:t xml:space="preserve"> </w:t>
      </w:r>
      <w:proofErr w:type="spellStart"/>
      <w:r w:rsidRPr="0092067E">
        <w:rPr>
          <w:rFonts w:eastAsia="Times New Roman" w:cs="Times New Roman"/>
          <w:kern w:val="0"/>
          <w:sz w:val="28"/>
          <w:szCs w:val="28"/>
          <w:lang w:eastAsia="fr-FR"/>
          <w14:ligatures w14:val="none"/>
        </w:rPr>
        <w:t>Later</w:t>
      </w:r>
      <w:proofErr w:type="spellEnd"/>
      <w:r w:rsidRPr="0092067E">
        <w:rPr>
          <w:rFonts w:eastAsia="Times New Roman" w:cs="Times New Roman"/>
          <w:kern w:val="0"/>
          <w:sz w:val="28"/>
          <w:szCs w:val="28"/>
          <w:lang w:eastAsia="fr-FR"/>
          <w14:ligatures w14:val="none"/>
        </w:rPr>
        <w:t xml:space="preserve"> » (Récolter maintenant, déchiffrer plus tard).</w:t>
      </w:r>
    </w:p>
    <w:p w:rsidR="0092067E" w:rsidRPr="0092067E" w:rsidRDefault="0092067E" w:rsidP="0092067E">
      <w:pPr>
        <w:numPr>
          <w:ilvl w:val="0"/>
          <w:numId w:val="1"/>
        </w:num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Des attaquants interceptent aujourd'hui des flux de données chiffrés pour les stocker.</w:t>
      </w:r>
    </w:p>
    <w:p w:rsidR="0092067E" w:rsidRPr="0092067E" w:rsidRDefault="0092067E" w:rsidP="0092067E">
      <w:pPr>
        <w:numPr>
          <w:ilvl w:val="0"/>
          <w:numId w:val="1"/>
        </w:num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L'objectif est de les déchiffrer dans quelques années lorsque la technologie quantique sera mature.</w:t>
      </w:r>
    </w:p>
    <w:p w:rsidR="0092067E" w:rsidRPr="0092067E" w:rsidRDefault="0092067E" w:rsidP="0092067E">
      <w:pPr>
        <w:numPr>
          <w:ilvl w:val="0"/>
          <w:numId w:val="1"/>
        </w:num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L'adoption de nouveaux algorithmes dès 2026 permet de garantir que les données interceptées aujourd'hui resteront illisibles dans le futur.</w:t>
      </w:r>
    </w:p>
    <w:p w:rsidR="0092067E" w:rsidRPr="0092067E" w:rsidRDefault="0092067E" w:rsidP="0092067E">
      <w:pPr>
        <w:spacing w:before="100" w:beforeAutospacing="1" w:after="100" w:afterAutospacing="1" w:line="240" w:lineRule="auto"/>
        <w:outlineLvl w:val="2"/>
        <w:rPr>
          <w:rFonts w:eastAsia="Times New Roman" w:cs="Times New Roman"/>
          <w:b/>
          <w:bCs/>
          <w:kern w:val="0"/>
          <w:sz w:val="28"/>
          <w:szCs w:val="28"/>
          <w:lang w:eastAsia="fr-FR"/>
          <w14:ligatures w14:val="none"/>
        </w:rPr>
      </w:pPr>
      <w:r w:rsidRPr="0092067E">
        <w:rPr>
          <w:rFonts w:eastAsia="Times New Roman" w:cs="Times New Roman"/>
          <w:b/>
          <w:bCs/>
          <w:kern w:val="0"/>
          <w:sz w:val="28"/>
          <w:szCs w:val="28"/>
          <w:lang w:eastAsia="fr-FR"/>
          <w14:ligatures w14:val="none"/>
        </w:rPr>
        <w:t>Le fonctionnement du TLS Hybride</w:t>
      </w:r>
    </w:p>
    <w:p w:rsidR="0092067E" w:rsidRPr="0092067E" w:rsidRDefault="0092067E" w:rsidP="0092067E">
      <w:p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Pour assurer une transition sans rupture, les navigateurs et les serveurs utilisent désormais une approche hybride pour sécuriser les échanges.</w:t>
      </w:r>
    </w:p>
    <w:p w:rsidR="0092067E" w:rsidRPr="0092067E" w:rsidRDefault="0092067E" w:rsidP="0092067E">
      <w:pPr>
        <w:numPr>
          <w:ilvl w:val="0"/>
          <w:numId w:val="2"/>
        </w:num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Cette méthode consiste à combiner un algorithme de chiffrement classique (comme l'</w:t>
      </w:r>
      <w:proofErr w:type="spellStart"/>
      <w:r w:rsidRPr="0092067E">
        <w:rPr>
          <w:rFonts w:eastAsia="Times New Roman" w:cs="Times New Roman"/>
          <w:kern w:val="0"/>
          <w:sz w:val="28"/>
          <w:szCs w:val="28"/>
          <w:lang w:eastAsia="fr-FR"/>
          <w14:ligatures w14:val="none"/>
        </w:rPr>
        <w:t>Elliptic</w:t>
      </w:r>
      <w:proofErr w:type="spellEnd"/>
      <w:r w:rsidRPr="0092067E">
        <w:rPr>
          <w:rFonts w:eastAsia="Times New Roman" w:cs="Times New Roman"/>
          <w:kern w:val="0"/>
          <w:sz w:val="28"/>
          <w:szCs w:val="28"/>
          <w:lang w:eastAsia="fr-FR"/>
          <w14:ligatures w14:val="none"/>
        </w:rPr>
        <w:t xml:space="preserve"> </w:t>
      </w:r>
      <w:proofErr w:type="spellStart"/>
      <w:r w:rsidRPr="0092067E">
        <w:rPr>
          <w:rFonts w:eastAsia="Times New Roman" w:cs="Times New Roman"/>
          <w:kern w:val="0"/>
          <w:sz w:val="28"/>
          <w:szCs w:val="28"/>
          <w:lang w:eastAsia="fr-FR"/>
          <w14:ligatures w14:val="none"/>
        </w:rPr>
        <w:t>Curve</w:t>
      </w:r>
      <w:proofErr w:type="spellEnd"/>
      <w:r w:rsidRPr="0092067E">
        <w:rPr>
          <w:rFonts w:eastAsia="Times New Roman" w:cs="Times New Roman"/>
          <w:kern w:val="0"/>
          <w:sz w:val="28"/>
          <w:szCs w:val="28"/>
          <w:lang w:eastAsia="fr-FR"/>
          <w14:ligatures w14:val="none"/>
        </w:rPr>
        <w:t xml:space="preserve"> </w:t>
      </w:r>
      <w:proofErr w:type="spellStart"/>
      <w:r w:rsidRPr="0092067E">
        <w:rPr>
          <w:rFonts w:eastAsia="Times New Roman" w:cs="Times New Roman"/>
          <w:kern w:val="0"/>
          <w:sz w:val="28"/>
          <w:szCs w:val="28"/>
          <w:lang w:eastAsia="fr-FR"/>
          <w14:ligatures w14:val="none"/>
        </w:rPr>
        <w:t>Diffie-Hellman</w:t>
      </w:r>
      <w:proofErr w:type="spellEnd"/>
      <w:r w:rsidRPr="0092067E">
        <w:rPr>
          <w:rFonts w:eastAsia="Times New Roman" w:cs="Times New Roman"/>
          <w:kern w:val="0"/>
          <w:sz w:val="28"/>
          <w:szCs w:val="28"/>
          <w:lang w:eastAsia="fr-FR"/>
          <w14:ligatures w14:val="none"/>
        </w:rPr>
        <w:t>) avec un algorithme post-quantique (tel que ML-KEM).</w:t>
      </w:r>
    </w:p>
    <w:p w:rsidR="0092067E" w:rsidRPr="0092067E" w:rsidRDefault="0092067E" w:rsidP="0092067E">
      <w:pPr>
        <w:numPr>
          <w:ilvl w:val="0"/>
          <w:numId w:val="2"/>
        </w:num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Si l'un des deux algorithmes est cassé, la connexion reste protégée par le second.</w:t>
      </w:r>
    </w:p>
    <w:p w:rsidR="0092067E" w:rsidRPr="0092067E" w:rsidRDefault="0092067E" w:rsidP="0092067E">
      <w:pPr>
        <w:numPr>
          <w:ilvl w:val="0"/>
          <w:numId w:val="2"/>
        </w:num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Cela assure une sécurité maximale durant toute la phase de migration.</w:t>
      </w:r>
    </w:p>
    <w:p w:rsidR="0092067E" w:rsidRPr="0092067E" w:rsidRDefault="0092067E" w:rsidP="0092067E">
      <w:pPr>
        <w:spacing w:before="100" w:beforeAutospacing="1" w:after="100" w:afterAutospacing="1" w:line="240" w:lineRule="auto"/>
        <w:outlineLvl w:val="2"/>
        <w:rPr>
          <w:rFonts w:eastAsia="Times New Roman" w:cs="Times New Roman"/>
          <w:b/>
          <w:bCs/>
          <w:kern w:val="0"/>
          <w:sz w:val="28"/>
          <w:szCs w:val="28"/>
          <w:lang w:eastAsia="fr-FR"/>
          <w14:ligatures w14:val="none"/>
        </w:rPr>
      </w:pPr>
      <w:r w:rsidRPr="0092067E">
        <w:rPr>
          <w:rFonts w:eastAsia="Times New Roman" w:cs="Times New Roman"/>
          <w:b/>
          <w:bCs/>
          <w:kern w:val="0"/>
          <w:sz w:val="28"/>
          <w:szCs w:val="28"/>
          <w:lang w:eastAsia="fr-FR"/>
          <w14:ligatures w14:val="none"/>
        </w:rPr>
        <w:t>Impacts et défis techniques</w:t>
      </w:r>
    </w:p>
    <w:p w:rsidR="0092067E" w:rsidRPr="0092067E" w:rsidRDefault="0092067E" w:rsidP="0092067E">
      <w:p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L'implémentation de la PQC impose de nouvelles contraintes aux infrastructures numériques :</w:t>
      </w:r>
    </w:p>
    <w:p w:rsidR="0092067E" w:rsidRPr="0092067E" w:rsidRDefault="0092067E" w:rsidP="0092067E">
      <w:pPr>
        <w:numPr>
          <w:ilvl w:val="0"/>
          <w:numId w:val="3"/>
        </w:num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b/>
          <w:bCs/>
          <w:kern w:val="0"/>
          <w:sz w:val="28"/>
          <w:szCs w:val="28"/>
          <w:lang w:eastAsia="fr-FR"/>
          <w14:ligatures w14:val="none"/>
        </w:rPr>
        <w:lastRenderedPageBreak/>
        <w:t>Taille des clés</w:t>
      </w:r>
      <w:r w:rsidRPr="0092067E">
        <w:rPr>
          <w:rFonts w:eastAsia="Times New Roman" w:cs="Times New Roman"/>
          <w:kern w:val="0"/>
          <w:sz w:val="28"/>
          <w:szCs w:val="28"/>
          <w:lang w:eastAsia="fr-FR"/>
          <w14:ligatures w14:val="none"/>
        </w:rPr>
        <w:t xml:space="preserve"> : Les clés post-quantiques sont beaucoup plus volumineuses, ce qui augmente la taille des paquets TLS et peut provoquer des problèmes de fragmentation réseau.</w:t>
      </w:r>
    </w:p>
    <w:p w:rsidR="0092067E" w:rsidRPr="0092067E" w:rsidRDefault="0092067E" w:rsidP="0092067E">
      <w:pPr>
        <w:numPr>
          <w:ilvl w:val="0"/>
          <w:numId w:val="3"/>
        </w:num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b/>
          <w:bCs/>
          <w:kern w:val="0"/>
          <w:sz w:val="28"/>
          <w:szCs w:val="28"/>
          <w:lang w:eastAsia="fr-FR"/>
          <w14:ligatures w14:val="none"/>
        </w:rPr>
        <w:t>Performance matérielle</w:t>
      </w:r>
      <w:r w:rsidRPr="0092067E">
        <w:rPr>
          <w:rFonts w:eastAsia="Times New Roman" w:cs="Times New Roman"/>
          <w:kern w:val="0"/>
          <w:sz w:val="28"/>
          <w:szCs w:val="28"/>
          <w:lang w:eastAsia="fr-FR"/>
          <w14:ligatures w14:val="none"/>
        </w:rPr>
        <w:t xml:space="preserve"> : Le traitement de ces nouveaux algorithmes nécessite une puissance de calcul plus élevée, impactant la charge CPU des serveurs.</w:t>
      </w:r>
    </w:p>
    <w:p w:rsidR="0092067E" w:rsidRPr="0092067E" w:rsidRDefault="0092067E" w:rsidP="0092067E">
      <w:pPr>
        <w:numPr>
          <w:ilvl w:val="0"/>
          <w:numId w:val="3"/>
        </w:num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b/>
          <w:bCs/>
          <w:kern w:val="0"/>
          <w:sz w:val="28"/>
          <w:szCs w:val="28"/>
          <w:lang w:eastAsia="fr-FR"/>
          <w14:ligatures w14:val="none"/>
        </w:rPr>
        <w:t>Agilité cryptographique</w:t>
      </w:r>
      <w:r w:rsidRPr="0092067E">
        <w:rPr>
          <w:rFonts w:eastAsia="Times New Roman" w:cs="Times New Roman"/>
          <w:kern w:val="0"/>
          <w:sz w:val="28"/>
          <w:szCs w:val="28"/>
          <w:lang w:eastAsia="fr-FR"/>
          <w14:ligatures w14:val="none"/>
        </w:rPr>
        <w:t xml:space="preserve"> : La réduction de la durée de vie des certificats à 90 jours facilite ce changement en permettant de remplacer rapidement les anciennes signatures.</w:t>
      </w:r>
    </w:p>
    <w:p w:rsidR="0092067E" w:rsidRPr="0092067E" w:rsidRDefault="0092067E" w:rsidP="0092067E">
      <w:pPr>
        <w:spacing w:before="100" w:beforeAutospacing="1" w:after="100" w:afterAutospacing="1" w:line="240" w:lineRule="auto"/>
        <w:outlineLvl w:val="2"/>
        <w:rPr>
          <w:rFonts w:eastAsia="Times New Roman" w:cs="Times New Roman"/>
          <w:b/>
          <w:bCs/>
          <w:kern w:val="0"/>
          <w:sz w:val="28"/>
          <w:szCs w:val="28"/>
          <w:lang w:eastAsia="fr-FR"/>
          <w14:ligatures w14:val="none"/>
        </w:rPr>
      </w:pPr>
      <w:r w:rsidRPr="0092067E">
        <w:rPr>
          <w:rFonts w:eastAsia="Times New Roman" w:cs="Times New Roman"/>
          <w:b/>
          <w:bCs/>
          <w:kern w:val="0"/>
          <w:sz w:val="28"/>
          <w:szCs w:val="28"/>
          <w:lang w:eastAsia="fr-FR"/>
          <w14:ligatures w14:val="none"/>
        </w:rPr>
        <w:t>Perspectives</w:t>
      </w:r>
    </w:p>
    <w:p w:rsidR="0092067E" w:rsidRPr="0092067E" w:rsidRDefault="0092067E" w:rsidP="0092067E">
      <w:p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t>L'année 2026 marque le début d'une nouvelle ère pour la confiance numérique. Bien que la transition soit complexe, elle est indispensable pour maintenir la confidentialité des échanges mondiaux. La prochaine étape consistera à migrer l'ensemble des infrastructures de clés publiques (PKI) pour que la signature même des certificats soit totalement résistante à la menace quantique.</w:t>
      </w:r>
    </w:p>
    <w:p w:rsidR="0092067E" w:rsidRPr="0092067E" w:rsidRDefault="0092067E" w:rsidP="0092067E">
      <w:pPr>
        <w:spacing w:after="0" w:line="240" w:lineRule="auto"/>
        <w:rPr>
          <w:rFonts w:eastAsia="Times New Roman" w:cs="Times New Roman"/>
          <w:kern w:val="0"/>
          <w:sz w:val="28"/>
          <w:szCs w:val="28"/>
          <w:lang w:eastAsia="fr-FR"/>
          <w14:ligatures w14:val="none"/>
        </w:rPr>
      </w:pPr>
      <w:r w:rsidRPr="0092067E">
        <w:rPr>
          <w:rFonts w:eastAsia="Times New Roman" w:cs="Times New Roman"/>
          <w:kern w:val="0"/>
          <w:sz w:val="28"/>
          <w:szCs w:val="28"/>
          <w:lang w:eastAsia="fr-FR"/>
          <w14:ligatures w14:val="none"/>
        </w:rPr>
        <w:pict>
          <v:rect id="_x0000_i1026" style="width:0;height:1.5pt" o:hralign="center" o:hrstd="t" o:hr="t" fillcolor="#a0a0a0" stroked="f"/>
        </w:pict>
      </w:r>
    </w:p>
    <w:p w:rsidR="0092067E" w:rsidRPr="0092067E" w:rsidRDefault="0092067E" w:rsidP="0092067E">
      <w:pPr>
        <w:spacing w:before="100" w:beforeAutospacing="1" w:after="100" w:afterAutospacing="1" w:line="240" w:lineRule="auto"/>
        <w:rPr>
          <w:rFonts w:eastAsia="Times New Roman" w:cs="Times New Roman"/>
          <w:kern w:val="0"/>
          <w:sz w:val="28"/>
          <w:szCs w:val="28"/>
          <w:lang w:eastAsia="fr-FR"/>
          <w14:ligatures w14:val="none"/>
        </w:rPr>
      </w:pPr>
      <w:r w:rsidRPr="0092067E">
        <w:rPr>
          <w:rFonts w:eastAsia="Times New Roman" w:cs="Times New Roman"/>
          <w:b/>
          <w:bCs/>
          <w:kern w:val="0"/>
          <w:sz w:val="28"/>
          <w:szCs w:val="28"/>
          <w:lang w:eastAsia="fr-FR"/>
          <w14:ligatures w14:val="none"/>
        </w:rPr>
        <w:t>Sources :</w:t>
      </w:r>
      <w:r w:rsidRPr="0092067E">
        <w:rPr>
          <w:rFonts w:eastAsia="Times New Roman" w:cs="Times New Roman"/>
          <w:kern w:val="0"/>
          <w:sz w:val="28"/>
          <w:szCs w:val="28"/>
          <w:lang w:eastAsia="fr-FR"/>
          <w14:ligatures w14:val="none"/>
        </w:rPr>
        <w:t xml:space="preserve"> </w:t>
      </w:r>
      <w:hyperlink r:id="rId5" w:tgtFrame="_blank" w:history="1">
        <w:r w:rsidRPr="0092067E">
          <w:rPr>
            <w:rFonts w:eastAsia="Times New Roman" w:cs="Times New Roman"/>
            <w:color w:val="0000FF"/>
            <w:kern w:val="0"/>
            <w:sz w:val="28"/>
            <w:szCs w:val="28"/>
            <w:u w:val="single"/>
            <w:lang w:eastAsia="fr-FR"/>
            <w14:ligatures w14:val="none"/>
          </w:rPr>
          <w:t>https://www.ssllabs.com/blog/pqc-transition-guide-2026/</w:t>
        </w:r>
      </w:hyperlink>
      <w:r w:rsidRPr="0092067E">
        <w:rPr>
          <w:rFonts w:eastAsia="Times New Roman" w:cs="Times New Roman"/>
          <w:kern w:val="0"/>
          <w:sz w:val="28"/>
          <w:szCs w:val="28"/>
          <w:lang w:eastAsia="fr-FR"/>
          <w14:ligatures w14:val="none"/>
        </w:rPr>
        <w:t xml:space="preserve"> </w:t>
      </w:r>
      <w:hyperlink r:id="rId6" w:tgtFrame="_blank" w:history="1">
        <w:r w:rsidRPr="0092067E">
          <w:rPr>
            <w:rFonts w:eastAsia="Times New Roman" w:cs="Times New Roman"/>
            <w:color w:val="0000FF"/>
            <w:kern w:val="0"/>
            <w:sz w:val="28"/>
            <w:szCs w:val="28"/>
            <w:u w:val="single"/>
            <w:lang w:eastAsia="fr-FR"/>
            <w14:ligatures w14:val="none"/>
          </w:rPr>
          <w:t>https://www.digicert.com/blog/post-quantum-cryptography-deployment/</w:t>
        </w:r>
      </w:hyperlink>
      <w:r w:rsidRPr="0092067E">
        <w:rPr>
          <w:rFonts w:eastAsia="Times New Roman" w:cs="Times New Roman"/>
          <w:kern w:val="0"/>
          <w:sz w:val="28"/>
          <w:szCs w:val="28"/>
          <w:lang w:eastAsia="fr-FR"/>
          <w14:ligatures w14:val="none"/>
        </w:rPr>
        <w:t xml:space="preserve"> </w:t>
      </w:r>
      <w:hyperlink r:id="rId7" w:tgtFrame="_blank" w:history="1">
        <w:r w:rsidRPr="0092067E">
          <w:rPr>
            <w:rFonts w:eastAsia="Times New Roman" w:cs="Times New Roman"/>
            <w:color w:val="0000FF"/>
            <w:kern w:val="0"/>
            <w:sz w:val="28"/>
            <w:szCs w:val="28"/>
            <w:u w:val="single"/>
            <w:lang w:eastAsia="fr-FR"/>
            <w14:ligatures w14:val="none"/>
          </w:rPr>
          <w:t>https://csrc.nist.gov/projects/post-quantum-cryptography-standardization</w:t>
        </w:r>
      </w:hyperlink>
    </w:p>
    <w:p w:rsidR="00783035" w:rsidRDefault="00783035"/>
    <w:sectPr w:rsidR="007830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762520"/>
    <w:multiLevelType w:val="multilevel"/>
    <w:tmpl w:val="C83E7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862285"/>
    <w:multiLevelType w:val="multilevel"/>
    <w:tmpl w:val="1BCE0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7C12DF"/>
    <w:multiLevelType w:val="multilevel"/>
    <w:tmpl w:val="2BD4E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67E"/>
    <w:rsid w:val="00044E2C"/>
    <w:rsid w:val="0025296B"/>
    <w:rsid w:val="005F292B"/>
    <w:rsid w:val="00783035"/>
    <w:rsid w:val="0092067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529FEA-99F0-4A7A-A5D1-399E165DC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92067E"/>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92067E"/>
    <w:rPr>
      <w:rFonts w:ascii="Times New Roman" w:eastAsia="Times New Roman" w:hAnsi="Times New Roman" w:cs="Times New Roman"/>
      <w:b/>
      <w:bCs/>
      <w:kern w:val="0"/>
      <w:sz w:val="27"/>
      <w:szCs w:val="27"/>
      <w:lang w:eastAsia="fr-FR"/>
      <w14:ligatures w14:val="none"/>
    </w:rPr>
  </w:style>
  <w:style w:type="paragraph" w:styleId="NormalWeb">
    <w:name w:val="Normal (Web)"/>
    <w:basedOn w:val="Normal"/>
    <w:uiPriority w:val="99"/>
    <w:semiHidden/>
    <w:unhideWhenUsed/>
    <w:rsid w:val="0092067E"/>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ienhypertexte">
    <w:name w:val="Hyperlink"/>
    <w:basedOn w:val="Policepardfaut"/>
    <w:uiPriority w:val="99"/>
    <w:semiHidden/>
    <w:unhideWhenUsed/>
    <w:rsid w:val="0092067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6227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q=https://csrc.nist.gov/projects/post-quantum-cryptography-standardiz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q=https://www.digicert.com/blog/post-quantum-cryptography-deployment/" TargetMode="External"/><Relationship Id="rId5" Type="http://schemas.openxmlformats.org/officeDocument/2006/relationships/hyperlink" Target="https://www.google.com/search?q=https://www.ssllabs.com/blog/pqc-transition-guide-202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475</Words>
  <Characters>2618</Characters>
  <Application>Microsoft Office Word</Application>
  <DocSecurity>0</DocSecurity>
  <Lines>21</Lines>
  <Paragraphs>6</Paragraphs>
  <ScaleCrop>false</ScaleCrop>
  <Company/>
  <LinksUpToDate>false</LinksUpToDate>
  <CharactersWithSpaces>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rachida el arabi</dc:creator>
  <cp:keywords/>
  <dc:description/>
  <cp:lastModifiedBy>rachida el arabi</cp:lastModifiedBy>
  <cp:revision>1</cp:revision>
  <dcterms:created xsi:type="dcterms:W3CDTF">2026-04-26T20:18:00Z</dcterms:created>
  <dcterms:modified xsi:type="dcterms:W3CDTF">2026-04-26T20:19:00Z</dcterms:modified>
</cp:coreProperties>
</file>